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 xml:space="preserve">附表2  </w:t>
      </w:r>
      <w:r>
        <w:rPr>
          <w:rFonts w:hint="eastAsia" w:ascii="宋体" w:hAnsi="宋体" w:eastAsia="宋体" w:cs="宋体"/>
          <w:b/>
          <w:bCs/>
          <w:color w:val="000000" w:themeColor="text1"/>
          <w:sz w:val="32"/>
          <w:szCs w:val="32"/>
          <w14:textFill>
            <w14:solidFill>
              <w14:schemeClr w14:val="tx1"/>
            </w14:solidFill>
          </w14:textFill>
        </w:rPr>
        <w:t xml:space="preserve">               </w:t>
      </w:r>
      <w:r>
        <w:rPr>
          <w:rFonts w:hint="eastAsia" w:ascii="宋体" w:hAnsi="宋体" w:eastAsia="宋体" w:cs="宋体"/>
          <w:b/>
          <w:bCs/>
          <w:color w:val="000000" w:themeColor="text1"/>
          <w:sz w:val="32"/>
          <w:szCs w:val="32"/>
          <w:lang w:val="en-US" w:eastAsia="zh-CN"/>
          <w14:textFill>
            <w14:solidFill>
              <w14:schemeClr w14:val="tx1"/>
            </w14:solidFill>
          </w14:textFill>
        </w:rPr>
        <w:t xml:space="preserve">     </w:t>
      </w:r>
      <w:r>
        <w:rPr>
          <w:rFonts w:hint="eastAsia" w:ascii="宋体" w:hAnsi="宋体" w:eastAsia="宋体" w:cs="宋体"/>
          <w:b/>
          <w:bCs/>
          <w:color w:val="000000" w:themeColor="text1"/>
          <w:sz w:val="32"/>
          <w:szCs w:val="32"/>
          <w14:textFill>
            <w14:solidFill>
              <w14:schemeClr w14:val="tx1"/>
            </w14:solidFill>
          </w14:textFill>
        </w:rPr>
        <w:t xml:space="preserve"> </w:t>
      </w:r>
    </w:p>
    <w:p>
      <w:pPr>
        <w:rPr>
          <w:rFonts w:hint="eastAsia" w:ascii="宋体" w:hAnsi="宋体" w:eastAsia="宋体" w:cs="宋体"/>
          <w:b/>
          <w:bCs/>
          <w:color w:val="000000" w:themeColor="text1"/>
          <w:sz w:val="32"/>
          <w:szCs w:val="32"/>
          <w14:textFill>
            <w14:solidFill>
              <w14:schemeClr w14:val="tx1"/>
            </w14:solidFill>
          </w14:textFill>
        </w:rPr>
      </w:pPr>
    </w:p>
    <w:p>
      <w:pPr>
        <w:jc w:val="center"/>
        <w:rPr>
          <w:rFonts w:hint="eastAsia" w:ascii="宋体" w:hAnsi="宋体" w:eastAsia="宋体" w:cs="宋体"/>
          <w:b/>
          <w:bCs/>
          <w:color w:val="000000" w:themeColor="text1"/>
          <w:sz w:val="32"/>
          <w:szCs w:val="32"/>
          <w14:textFill>
            <w14:solidFill>
              <w14:schemeClr w14:val="tx1"/>
            </w14:solidFill>
          </w14:textFill>
        </w:rPr>
      </w:pPr>
      <w:bookmarkStart w:id="0" w:name="_GoBack"/>
      <w:r>
        <w:rPr>
          <w:rFonts w:hint="eastAsia" w:ascii="宋体" w:hAnsi="宋体" w:eastAsia="宋体" w:cs="宋体"/>
          <w:b/>
          <w:bCs/>
          <w:color w:val="000000" w:themeColor="text1"/>
          <w:sz w:val="32"/>
          <w:szCs w:val="32"/>
          <w14:textFill>
            <w14:solidFill>
              <w14:schemeClr w14:val="tx1"/>
            </w14:solidFill>
          </w14:textFill>
        </w:rPr>
        <w:t>蚊虫固定型孳生地处理汇总表</w:t>
      </w:r>
    </w:p>
    <w:bookmarkEnd w:id="0"/>
    <w:p>
      <w:pPr>
        <w:jc w:val="center"/>
        <w:rPr>
          <w:rFonts w:hint="eastAsia" w:ascii="宋体" w:hAnsi="宋体" w:eastAsia="宋体" w:cs="宋体"/>
          <w:b/>
          <w:bCs/>
          <w:color w:val="000000" w:themeColor="text1"/>
          <w:sz w:val="32"/>
          <w:szCs w:val="32"/>
          <w:lang w:val="en-US" w:eastAsia="zh-CN"/>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汇总单位</w:t>
      </w:r>
      <w:r>
        <w:rPr>
          <w:rFonts w:hint="eastAsia" w:ascii="宋体" w:hAnsi="宋体" w:eastAsia="宋体" w:cs="宋体"/>
          <w:b/>
          <w:bCs/>
          <w:color w:val="000000" w:themeColor="text1"/>
          <w:sz w:val="24"/>
          <w:szCs w:val="24"/>
          <w:u w:val="single"/>
          <w14:textFill>
            <w14:solidFill>
              <w14:schemeClr w14:val="tx1"/>
            </w14:solidFill>
          </w14:textFill>
        </w:rPr>
        <w:t>：</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tbl>
      <w:tblPr>
        <w:tblStyle w:val="2"/>
        <w:tblW w:w="1423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5106"/>
        <w:gridCol w:w="2042"/>
        <w:gridCol w:w="1240"/>
        <w:gridCol w:w="1604"/>
        <w:gridCol w:w="138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659"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5106"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调查点位</w:t>
            </w:r>
          </w:p>
        </w:tc>
        <w:tc>
          <w:tcPr>
            <w:tcW w:w="2042"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en-US" w:eastAsia="zh-CN"/>
                <w14:textFill>
                  <w14:solidFill>
                    <w14:schemeClr w14:val="tx1"/>
                  </w14:solidFill>
                </w14:textFill>
              </w:rPr>
              <w:t>固定</w:t>
            </w:r>
            <w:r>
              <w:rPr>
                <w:rFonts w:hint="eastAsia" w:ascii="宋体" w:hAnsi="宋体" w:eastAsia="宋体" w:cs="宋体"/>
                <w:b/>
                <w:color w:val="000000" w:themeColor="text1"/>
                <w:sz w:val="24"/>
                <w:szCs w:val="24"/>
                <w14:textFill>
                  <w14:solidFill>
                    <w14:schemeClr w14:val="tx1"/>
                  </w14:solidFill>
                </w14:textFill>
              </w:rPr>
              <w:t>孳生地</w:t>
            </w:r>
          </w:p>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类型</w:t>
            </w:r>
          </w:p>
        </w:tc>
        <w:tc>
          <w:tcPr>
            <w:tcW w:w="1240"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数量(个）</w:t>
            </w:r>
          </w:p>
        </w:tc>
        <w:tc>
          <w:tcPr>
            <w:tcW w:w="1604" w:type="dxa"/>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阳性数量(个）</w:t>
            </w:r>
          </w:p>
        </w:tc>
        <w:tc>
          <w:tcPr>
            <w:tcW w:w="1381"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阳性是否处理</w:t>
            </w:r>
          </w:p>
        </w:tc>
        <w:tc>
          <w:tcPr>
            <w:tcW w:w="2203" w:type="dxa"/>
            <w:shd w:val="clear" w:color="auto" w:fill="auto"/>
            <w:vAlign w:val="center"/>
          </w:tcPr>
          <w:p>
            <w:pPr>
              <w:spacing w:line="380" w:lineRule="atLeast"/>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659"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rPr>
                <w:rFonts w:ascii="宋体" w:hAnsi="宋体" w:eastAsia="宋体" w:cs="宋体"/>
                <w:bCs/>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59" w:type="dxa"/>
          </w:tcPr>
          <w:p>
            <w:pPr>
              <w:jc w:val="left"/>
              <w:rPr>
                <w:rFonts w:ascii="宋体" w:hAnsi="宋体" w:eastAsia="宋体" w:cs="宋体"/>
                <w:bCs/>
                <w:color w:val="000000" w:themeColor="text1"/>
                <w:sz w:val="24"/>
                <w:szCs w:val="24"/>
                <w14:textFill>
                  <w14:solidFill>
                    <w14:schemeClr w14:val="tx1"/>
                  </w14:solidFill>
                </w14:textFill>
              </w:rPr>
            </w:pPr>
          </w:p>
        </w:tc>
        <w:tc>
          <w:tcPr>
            <w:tcW w:w="5106" w:type="dxa"/>
            <w:vAlign w:val="center"/>
          </w:tcPr>
          <w:p>
            <w:pPr>
              <w:jc w:val="center"/>
              <w:rPr>
                <w:rFonts w:ascii="宋体" w:hAnsi="宋体" w:eastAsia="宋体" w:cs="宋体"/>
                <w:b/>
                <w:color w:val="000000" w:themeColor="text1"/>
                <w:sz w:val="24"/>
                <w:szCs w:val="24"/>
                <w14:textFill>
                  <w14:solidFill>
                    <w14:schemeClr w14:val="tx1"/>
                  </w14:solidFill>
                </w14:textFill>
              </w:rPr>
            </w:pP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765" w:type="dxa"/>
            <w:gridSpan w:val="2"/>
          </w:tcPr>
          <w:p>
            <w:pPr>
              <w:jc w:val="center"/>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合计</w:t>
            </w:r>
          </w:p>
        </w:tc>
        <w:tc>
          <w:tcPr>
            <w:tcW w:w="2042"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240"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604" w:type="dxa"/>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c>
          <w:tcPr>
            <w:tcW w:w="2203" w:type="dxa"/>
            <w:shd w:val="clear" w:color="auto" w:fill="auto"/>
            <w:vAlign w:val="center"/>
          </w:tcPr>
          <w:p>
            <w:pPr>
              <w:jc w:val="center"/>
              <w:rPr>
                <w:rFonts w:ascii="宋体" w:hAnsi="宋体" w:eastAsia="宋体" w:cs="宋体"/>
                <w:bCs/>
                <w:color w:val="000000" w:themeColor="text1"/>
                <w:sz w:val="24"/>
                <w:szCs w:val="24"/>
                <w14:textFill>
                  <w14:solidFill>
                    <w14:schemeClr w14:val="tx1"/>
                  </w14:solidFill>
                </w14:textFill>
              </w:rPr>
            </w:pPr>
          </w:p>
        </w:tc>
      </w:tr>
    </w:tbl>
    <w:p>
      <w:pPr>
        <w:jc w:val="left"/>
        <w:rPr>
          <w:rFonts w:ascii="仿宋_GB2312" w:hAnsi="仿宋" w:eastAsia="仿宋_GB2312" w:cs="Times New Roman"/>
          <w:color w:val="000000" w:themeColor="text1"/>
          <w:sz w:val="24"/>
          <w:szCs w:val="24"/>
          <w14:textFill>
            <w14:solidFill>
              <w14:schemeClr w14:val="tx1"/>
            </w14:solidFill>
          </w14:textFill>
        </w:rPr>
      </w:pPr>
    </w:p>
    <w:p>
      <w:pPr>
        <w:jc w:val="left"/>
        <w:rPr>
          <w:rFonts w:ascii="仿宋_GB2312" w:hAnsi="仿宋" w:eastAsia="仿宋_GB2312" w:cs="Times New Roman"/>
          <w:b/>
          <w:bCs/>
          <w:color w:val="000000" w:themeColor="text1"/>
          <w:sz w:val="24"/>
          <w:szCs w:val="24"/>
          <w14:textFill>
            <w14:solidFill>
              <w14:schemeClr w14:val="tx1"/>
            </w14:solidFill>
          </w14:textFill>
        </w:rPr>
      </w:pPr>
      <w:r>
        <w:rPr>
          <w:rFonts w:hint="eastAsia" w:ascii="仿宋_GB2312" w:hAnsi="仿宋" w:eastAsia="仿宋_GB2312" w:cs="Times New Roman"/>
          <w:b/>
          <w:bCs/>
          <w:color w:val="000000" w:themeColor="text1"/>
          <w:sz w:val="24"/>
          <w:szCs w:val="24"/>
          <w14:textFill>
            <w14:solidFill>
              <w14:schemeClr w14:val="tx1"/>
            </w14:solidFill>
          </w14:textFill>
        </w:rPr>
        <w:t>统计人：</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                   汇总时间：</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年 </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月</w:t>
      </w:r>
      <w:r>
        <w:rPr>
          <w:rFonts w:hint="eastAsia" w:ascii="仿宋_GB2312" w:hAnsi="仿宋" w:eastAsia="仿宋_GB2312" w:cs="Times New Roman"/>
          <w:b/>
          <w:bCs/>
          <w:color w:val="000000" w:themeColor="text1"/>
          <w:sz w:val="24"/>
          <w:szCs w:val="24"/>
          <w:u w:val="single"/>
          <w14:textFill>
            <w14:solidFill>
              <w14:schemeClr w14:val="tx1"/>
            </w14:solidFill>
          </w14:textFill>
        </w:rPr>
        <w:t xml:space="preserve">      </w:t>
      </w:r>
      <w:r>
        <w:rPr>
          <w:rFonts w:hint="eastAsia" w:ascii="仿宋_GB2312" w:hAnsi="仿宋" w:eastAsia="仿宋_GB2312" w:cs="Times New Roman"/>
          <w:b/>
          <w:bCs/>
          <w:color w:val="000000" w:themeColor="text1"/>
          <w:sz w:val="24"/>
          <w:szCs w:val="24"/>
          <w14:textFill>
            <w14:solidFill>
              <w14:schemeClr w14:val="tx1"/>
            </w14:solidFill>
          </w14:textFill>
        </w:rPr>
        <w:t xml:space="preserve">日   </w:t>
      </w:r>
    </w:p>
    <w:p>
      <w:pPr>
        <w:spacing w:line="240" w:lineRule="exact"/>
        <w:ind w:firstLine="422" w:firstLineChars="200"/>
        <w:rPr>
          <w:rFonts w:ascii="宋体" w:hAnsi="宋体" w:eastAsia="宋体" w:cs="宋体"/>
          <w:b/>
          <w:bCs/>
          <w:color w:val="000000" w:themeColor="text1"/>
          <w:szCs w:val="21"/>
          <w14:textFill>
            <w14:solidFill>
              <w14:schemeClr w14:val="tx1"/>
            </w14:solidFill>
          </w14:textFill>
        </w:rPr>
      </w:pPr>
    </w:p>
    <w:p>
      <w:pPr>
        <w:spacing w:line="240" w:lineRule="exact"/>
        <w:ind w:left="632" w:hanging="632" w:hangingChars="3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 1.蚊虫固定型孳生地处理应以环境</w:t>
      </w:r>
      <w:r>
        <w:rPr>
          <w:rFonts w:hint="eastAsia" w:ascii="宋体" w:hAnsi="宋体" w:eastAsia="宋体" w:cs="宋体"/>
          <w:b/>
          <w:bCs/>
          <w:color w:val="000000" w:themeColor="text1"/>
          <w:szCs w:val="21"/>
          <w:lang w:eastAsia="zh-CN"/>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物理和</w:t>
      </w:r>
      <w:r>
        <w:rPr>
          <w:rFonts w:hint="eastAsia" w:ascii="宋体" w:hAnsi="宋体" w:eastAsia="宋体" w:cs="宋体"/>
          <w:b/>
          <w:bCs/>
          <w:color w:val="000000" w:themeColor="text1"/>
          <w:szCs w:val="21"/>
          <w:lang w:val="en-US" w:eastAsia="zh-CN"/>
          <w14:textFill>
            <w14:solidFill>
              <w14:schemeClr w14:val="tx1"/>
            </w14:solidFill>
          </w14:textFill>
        </w:rPr>
        <w:t>生物</w:t>
      </w:r>
      <w:r>
        <w:rPr>
          <w:rFonts w:hint="eastAsia" w:ascii="宋体" w:hAnsi="宋体" w:eastAsia="宋体" w:cs="宋体"/>
          <w:b/>
          <w:bCs/>
          <w:color w:val="000000" w:themeColor="text1"/>
          <w:szCs w:val="21"/>
          <w14:textFill>
            <w14:solidFill>
              <w14:schemeClr w14:val="tx1"/>
            </w14:solidFill>
          </w14:textFill>
        </w:rPr>
        <w:t>防制措施为主，未经专业培训考核合格的调查员不得擅自对固定型阳性孳生地采取化学防制措施。</w:t>
      </w:r>
    </w:p>
    <w:p>
      <w:pPr>
        <w:spacing w:line="240" w:lineRule="exact"/>
        <w:ind w:firstLine="632" w:firstLineChars="3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2.台账附件图片包括固定型阳性孳生地处理前、处理措施和处理后的工作照片。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961F6"/>
    <w:rsid w:val="52B96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2024-04-01T03:51:00Z</dcterms:created>
  <dc:creator>人生当苦无妨</dc:creator>
  <cp:lastModifiedBy>人生当苦无妨</cp:lastModifiedBy>
  <dcterms:modified xsi:type="dcterms:W3CDTF">2024-04-01T03:51:48Z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